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A4E" w:rsidRDefault="00EE6A4E" w:rsidP="00EE6A4E">
      <w:pPr>
        <w:jc w:val="right"/>
        <w:rPr>
          <w:rFonts w:ascii="Trebuchet MS" w:hAnsi="Trebuchet MS"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sz w:val="22"/>
          <w:szCs w:val="22"/>
        </w:rPr>
        <w:t>KONKURSO DOKUMENTŲ 3</w:t>
      </w:r>
      <w:r w:rsidRPr="0065763B">
        <w:rPr>
          <w:rFonts w:ascii="Trebuchet MS" w:hAnsi="Trebuchet MS"/>
          <w:sz w:val="22"/>
          <w:szCs w:val="22"/>
        </w:rPr>
        <w:t xml:space="preserve"> priedas</w:t>
      </w:r>
    </w:p>
    <w:p w:rsidR="00EE6A4E" w:rsidRDefault="00EE6A4E" w:rsidP="00EE6A4E">
      <w:pPr>
        <w:jc w:val="right"/>
        <w:rPr>
          <w:rFonts w:ascii="Trebuchet MS" w:hAnsi="Trebuchet MS"/>
          <w:sz w:val="22"/>
          <w:szCs w:val="22"/>
        </w:rPr>
      </w:pPr>
    </w:p>
    <w:p w:rsidR="00EE6A4E" w:rsidRPr="00EE6A4E" w:rsidRDefault="00EE6A4E" w:rsidP="00EE6A4E">
      <w:pPr>
        <w:jc w:val="center"/>
        <w:rPr>
          <w:rFonts w:ascii="Trebuchet MS" w:hAnsi="Trebuchet MS"/>
          <w:b/>
          <w:sz w:val="22"/>
          <w:szCs w:val="22"/>
        </w:rPr>
      </w:pPr>
      <w:r w:rsidRPr="00EE6A4E">
        <w:rPr>
          <w:rFonts w:ascii="Trebuchet MS" w:hAnsi="Trebuchet MS"/>
          <w:b/>
          <w:sz w:val="22"/>
          <w:szCs w:val="22"/>
        </w:rPr>
        <w:t>PREKĖS TECHNINĖ SPECIFIKACIJA</w:t>
      </w:r>
    </w:p>
    <w:p w:rsidR="00EE6A4E" w:rsidRDefault="00EE6A4E" w:rsidP="00EE6A4E">
      <w:pPr>
        <w:jc w:val="center"/>
        <w:rPr>
          <w:rFonts w:ascii="Trebuchet MS" w:hAnsi="Trebuchet MS"/>
          <w:sz w:val="22"/>
          <w:szCs w:val="22"/>
        </w:rPr>
      </w:pPr>
    </w:p>
    <w:tbl>
      <w:tblPr>
        <w:tblpPr w:leftFromText="180" w:rightFromText="180" w:bottomFromText="16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86"/>
        <w:gridCol w:w="2061"/>
        <w:gridCol w:w="5422"/>
        <w:gridCol w:w="2126"/>
      </w:tblGrid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b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b/>
                <w:sz w:val="22"/>
                <w:szCs w:val="22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b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b/>
                <w:sz w:val="22"/>
                <w:szCs w:val="22"/>
              </w:rPr>
              <w:t>Parametro apibūdinimas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b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b/>
                <w:sz w:val="22"/>
                <w:szCs w:val="22"/>
              </w:rPr>
              <w:t>Privalomos techninės charakteristikos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EE6A4E" w:rsidRPr="00EE6A4E" w:rsidRDefault="00EE6A4E" w:rsidP="00EE6A4E">
            <w:pPr>
              <w:jc w:val="center"/>
              <w:rPr>
                <w:rFonts w:ascii="Trebuchet MS" w:hAnsi="Trebuchet MS" w:cs="Calibri Light"/>
                <w:b/>
                <w:bCs/>
                <w:sz w:val="22"/>
                <w:szCs w:val="22"/>
              </w:rPr>
            </w:pPr>
            <w:r w:rsidRPr="00EE6A4E">
              <w:rPr>
                <w:rFonts w:ascii="Trebuchet MS" w:hAnsi="Trebuchet MS" w:cs="Calibri Light"/>
                <w:b/>
                <w:bCs/>
                <w:sz w:val="22"/>
                <w:szCs w:val="22"/>
              </w:rPr>
              <w:t>Siūlomos įrangos charakteristikos/</w:t>
            </w:r>
          </w:p>
          <w:p w:rsidR="00EE6A4E" w:rsidRPr="00EE6A4E" w:rsidRDefault="00EE6A4E" w:rsidP="00EE6A4E">
            <w:pPr>
              <w:jc w:val="center"/>
              <w:rPr>
                <w:rFonts w:ascii="Trebuchet MS" w:hAnsi="Trebuchet MS" w:cs="Calibri Light"/>
                <w:b/>
                <w:bCs/>
                <w:sz w:val="22"/>
                <w:szCs w:val="22"/>
              </w:rPr>
            </w:pPr>
            <w:r w:rsidRPr="00EE6A4E">
              <w:rPr>
                <w:rFonts w:ascii="Trebuchet MS" w:hAnsi="Trebuchet MS" w:cs="Calibri Light"/>
                <w:b/>
                <w:bCs/>
                <w:sz w:val="22"/>
                <w:szCs w:val="22"/>
              </w:rPr>
              <w:t>parametrai</w:t>
            </w:r>
          </w:p>
          <w:p w:rsidR="00EE6A4E" w:rsidRPr="00F957EE" w:rsidRDefault="00EE6A4E" w:rsidP="00EE6A4E">
            <w:pPr>
              <w:jc w:val="center"/>
              <w:rPr>
                <w:rFonts w:ascii="Trebuchet MS" w:hAnsi="Trebuchet MS" w:cs="Calibri Light"/>
                <w:b/>
                <w:sz w:val="22"/>
                <w:szCs w:val="22"/>
              </w:rPr>
            </w:pPr>
            <w:r w:rsidRPr="00EE6A4E">
              <w:rPr>
                <w:rFonts w:ascii="Trebuchet MS" w:hAnsi="Trebuchet MS" w:cs="Calibri Light"/>
                <w:b/>
                <w:bCs/>
                <w:sz w:val="22"/>
                <w:szCs w:val="22"/>
              </w:rPr>
              <w:t>(Pildo Tiekėjas)</w:t>
            </w: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Programinės įrangos pavadinimas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EE6A4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EE6A4E">
              <w:rPr>
                <w:rFonts w:ascii="Trebuchet MS" w:hAnsi="Trebuchet MS"/>
                <w:sz w:val="22"/>
                <w:szCs w:val="22"/>
              </w:rPr>
              <w:t>Virtualių valiutų blokų grandinių transakcijų analizei skirtas įrankis</w:t>
            </w:r>
            <w:r w:rsidRPr="00EE6A4E">
              <w:rPr>
                <w:rFonts w:ascii="Trebuchet MS" w:hAnsi="Trebuchet MS"/>
                <w:sz w:val="22"/>
                <w:szCs w:val="22"/>
              </w:rPr>
              <w:t xml:space="preserve"> (</w:t>
            </w:r>
            <w:r w:rsidRPr="00EE6A4E">
              <w:rPr>
                <w:rFonts w:ascii="Trebuchet MS" w:hAnsi="Trebuchet MS"/>
                <w:i/>
                <w:sz w:val="22"/>
                <w:szCs w:val="22"/>
              </w:rPr>
              <w:t>nurodyti gamintoją ir pavadinimą</w:t>
            </w:r>
            <w:r w:rsidRPr="00EE6A4E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BF6E7F">
            <w:pPr>
              <w:spacing w:before="80" w:after="80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Kiekis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1 (vienas) vienetas.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Pagrindinės savybės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tiesioginis BTC, BCH, LTC, ETH, PAX, USDC, GUSD, USDT, TUSD, XRP ir kitų labiausiai paplitusių virtualių valiutų veiklų stebėjimas.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visos turimos informacijos apie rizikingas virtualių valiutų keityklas (rizikos lygis, kliento pažinimo anketos nebuvimas, nusikalstami ryšiai) suteikimas.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galimybė parodyti netiesioginį asmenų ir virtualios valiutos įmonių tarpusavio ryšį, kas leistų gauti visą finansinio sandorio istoriją ir gauti tikslią ataskaitą apie asmens atliktų operacijų virtualia valiuta sumą.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galimybė filtruoti asmens atliktų operacijų išklotinę pagal laikotarpį.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>Turi būti galimybė  pateikti papildomą informaciją apie virtualių valiutų naudotojų grupes, pvz., IP adresą ir geografinę vietą, jei tokia grupė yra prieinama.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galimybė eksportuoti platformoje esančią informaciją į CSV failą.  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galimybė „stebėti“ įtartinas duomenų grupes ir gauti tiesioginius elektroninio pašto </w:t>
            </w:r>
            <w:proofErr w:type="spellStart"/>
            <w:r w:rsidRPr="00F957EE">
              <w:rPr>
                <w:rFonts w:ascii="Trebuchet MS" w:hAnsi="Trebuchet MS"/>
                <w:sz w:val="22"/>
                <w:szCs w:val="22"/>
              </w:rPr>
              <w:t>atnaujinimus</w:t>
            </w:r>
            <w:proofErr w:type="spellEnd"/>
            <w:r w:rsidRPr="00F957EE">
              <w:rPr>
                <w:rFonts w:ascii="Trebuchet MS" w:hAnsi="Trebuchet MS"/>
                <w:sz w:val="22"/>
                <w:szCs w:val="22"/>
              </w:rPr>
              <w:t xml:space="preserve">, kai jie siunčia ir (arba) gauna lėšas.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Duomenys  turi būti prieinami ne vėliau kaip per 5 sekundes po jų atsinaujinimo blokų grandinėje (angl. </w:t>
            </w:r>
            <w:proofErr w:type="spellStart"/>
            <w:r w:rsidRPr="00F957EE">
              <w:rPr>
                <w:rFonts w:ascii="Trebuchet MS" w:hAnsi="Trebuchet MS"/>
                <w:sz w:val="22"/>
                <w:szCs w:val="22"/>
              </w:rPr>
              <w:t>blockchain</w:t>
            </w:r>
            <w:proofErr w:type="spellEnd"/>
            <w:r w:rsidRPr="00F957EE">
              <w:rPr>
                <w:rFonts w:ascii="Trebuchet MS" w:hAnsi="Trebuchet MS"/>
                <w:sz w:val="22"/>
                <w:szCs w:val="22"/>
              </w:rPr>
              <w:t xml:space="preserve">).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suteikta galimybė duomenis saugoti lokaliai įterpiant juos į egzistuojančius darbų srautus.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 suteikta galimybė į platformą įvesti didelį kiekį virtualios valiutos adresų.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suteikta galimybė eksportuoti sudarytas schemas ir informaciją į   </w:t>
            </w:r>
            <w:proofErr w:type="spellStart"/>
            <w:r w:rsidRPr="00F957EE">
              <w:rPr>
                <w:rFonts w:ascii="Trebuchet MS" w:hAnsi="Trebuchet MS"/>
                <w:sz w:val="22"/>
                <w:szCs w:val="22"/>
              </w:rPr>
              <w:t>csv-file</w:t>
            </w:r>
            <w:proofErr w:type="spellEnd"/>
            <w:r w:rsidRPr="00F957EE">
              <w:rPr>
                <w:rFonts w:ascii="Trebuchet MS" w:hAnsi="Trebuchet MS"/>
                <w:sz w:val="22"/>
                <w:szCs w:val="22"/>
              </w:rPr>
              <w:t xml:space="preserve"> tipo failą.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 xml:space="preserve">Turi būti  suteikta galimybė nuskaityti  internete esančią informaciją, randant ten esančius virtualios valiutos adresus perkeliant papildomą OSINT informaciją į platformą. </w:t>
            </w:r>
          </w:p>
          <w:p w:rsidR="00EE6A4E" w:rsidRPr="00F957EE" w:rsidRDefault="00EE6A4E" w:rsidP="00EE6A4E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/>
                <w:sz w:val="22"/>
                <w:szCs w:val="22"/>
              </w:rPr>
              <w:t>Turi būti  suteikta galimybė šalia virtualios valiutos sumos rodyti jos vertę Eurais arba JAV doleriais.</w:t>
            </w:r>
          </w:p>
          <w:p w:rsidR="00EE6A4E" w:rsidRPr="00F957EE" w:rsidRDefault="00EE6A4E" w:rsidP="00BF6E7F">
            <w:pPr>
              <w:tabs>
                <w:tab w:val="left" w:pos="177"/>
              </w:tabs>
              <w:spacing w:before="80" w:after="80"/>
              <w:ind w:left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572755">
            <w:pPr>
              <w:tabs>
                <w:tab w:val="left" w:pos="177"/>
              </w:tabs>
              <w:spacing w:before="80" w:after="80"/>
              <w:ind w:left="35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Veikimas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Programos palaikymo pagalba (angl. </w:t>
            </w:r>
            <w:proofErr w:type="spellStart"/>
            <w:r w:rsidRPr="00F957EE">
              <w:rPr>
                <w:rFonts w:ascii="Trebuchet MS" w:hAnsi="Trebuchet MS" w:cs="Calibri Light"/>
                <w:i/>
                <w:sz w:val="22"/>
                <w:szCs w:val="22"/>
              </w:rPr>
              <w:t>support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>) turi būti teikiama nuolatos. Vidutinis atsakymo į kliento užklausą laikas iki 1 valandos, bet ne vėliau kaip per 24 valandas.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Su operacija susijęs laikas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BF6E7F">
            <w:pPr>
              <w:widowControl w:val="0"/>
              <w:spacing w:before="80" w:after="80"/>
              <w:ind w:right="51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Turi būti rodoma  informacija apie operacijos patvirtinimo laiką.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BF6E7F">
            <w:pPr>
              <w:widowControl w:val="0"/>
              <w:spacing w:before="80" w:after="80"/>
              <w:ind w:right="51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Naršyklės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palaikyti šias naršykles:</w:t>
            </w:r>
          </w:p>
          <w:p w:rsidR="00EE6A4E" w:rsidRPr="00F957EE" w:rsidRDefault="00EE6A4E" w:rsidP="00EE6A4E">
            <w:pPr>
              <w:numPr>
                <w:ilvl w:val="0"/>
                <w:numId w:val="2"/>
              </w:numPr>
              <w:spacing w:before="80" w:after="8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„Google Chrome“</w:t>
            </w:r>
          </w:p>
          <w:p w:rsidR="00EE6A4E" w:rsidRPr="00F957EE" w:rsidRDefault="00EE6A4E" w:rsidP="00EE6A4E">
            <w:pPr>
              <w:numPr>
                <w:ilvl w:val="0"/>
                <w:numId w:val="2"/>
              </w:numPr>
              <w:spacing w:before="80" w:after="8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„Firefox“</w:t>
            </w:r>
          </w:p>
          <w:p w:rsidR="00EE6A4E" w:rsidRPr="00F957EE" w:rsidRDefault="00EE6A4E" w:rsidP="00EE6A4E">
            <w:pPr>
              <w:numPr>
                <w:ilvl w:val="0"/>
                <w:numId w:val="2"/>
              </w:numPr>
              <w:spacing w:before="80" w:after="8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„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Edge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>“</w:t>
            </w:r>
          </w:p>
          <w:p w:rsidR="00EE6A4E" w:rsidRPr="00F957EE" w:rsidRDefault="00EE6A4E" w:rsidP="00BF6E7F">
            <w:pPr>
              <w:spacing w:before="80" w:after="80"/>
              <w:ind w:left="78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Tyrimai – stebėjimas ir sekimas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EE6A4E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Programa turi leisti sekti kriptovaliutos operacijos paskirtį ir kilmę nuo bet kurio pradinio taško.</w:t>
            </w:r>
          </w:p>
          <w:p w:rsidR="00EE6A4E" w:rsidRPr="00F957EE" w:rsidRDefault="00EE6A4E" w:rsidP="00EE6A4E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suteikti galimybę sukurti atitinkamą adresų grupę/grupes, kurios būtų žinomos tik naudotojui.</w:t>
            </w:r>
          </w:p>
          <w:p w:rsidR="00EE6A4E" w:rsidRPr="00F957EE" w:rsidRDefault="00EE6A4E" w:rsidP="00EE6A4E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turėti galimybę pridėti kriptovaliutos adresus arba subjektus prie esančios schemos.</w:t>
            </w:r>
          </w:p>
          <w:p w:rsidR="00EE6A4E" w:rsidRPr="00F957EE" w:rsidRDefault="00EE6A4E" w:rsidP="00EE6A4E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Turi turėti subjektų paiešką iš blokų grandinės pagal 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blokų adresus ir pagal pavadinimus, kuriuos programa identifikuotų kaip subjektus.</w:t>
            </w:r>
          </w:p>
          <w:p w:rsidR="00EE6A4E" w:rsidRPr="00F957EE" w:rsidRDefault="00EE6A4E" w:rsidP="00EE6A4E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Programos duomenų byloje esantys duomenys turi būti saugomi lokaliai ir turi būti galimybė juos įterpti į naudotojo sukurtas programos duomenų bylas.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EE6A4E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Grafinės funkcijos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EE6A4E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Programa analizę turi rodyti grafiškai.</w:t>
            </w:r>
          </w:p>
          <w:p w:rsidR="00EE6A4E" w:rsidRPr="00F957EE" w:rsidRDefault="00EE6A4E" w:rsidP="00EE6A4E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Privalo būti schemų sudarymo priemonė (blokų grandinė ir kita 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grafinė forma).</w:t>
            </w:r>
          </w:p>
          <w:p w:rsidR="00EE6A4E" w:rsidRPr="00F957EE" w:rsidRDefault="00EE6A4E" w:rsidP="00EE6A4E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paryškintos žinomos duomenų grupės su asmenį identifikuojančia informacija, pvz., slapyvardžiai, IP adresai, piniginės teikėjai.</w:t>
            </w:r>
          </w:p>
          <w:p w:rsidR="00EE6A4E" w:rsidRPr="00F957EE" w:rsidRDefault="00EE6A4E" w:rsidP="00EE6A4E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Programoje stebimi subjektai negali būti informuojami apie tai, kad jie matomi bet kurioje programos duomenų byloje.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EE6A4E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Darbo eiga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perduoti programos duomenų bylas kitiems naudotojo padaliniams ir kitoms kompetentingoms institucijoms.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pradėti programoje duomenų bylą nurodant vienintelį identifikatorių, pavyzdžiui: adresą, operacijos žymą, grupę ar operacijos ID.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archyvuoti senesnes programos duomenų bylas su galimybe jas peržiūrėti arba išsaugoti.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matyti išsamų programos duomenų bylos analizės procesą ir pokyčius.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lastRenderedPageBreak/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Duomenų grupės (angl. </w:t>
            </w:r>
            <w:proofErr w:type="spellStart"/>
            <w:r w:rsidRPr="00F957EE">
              <w:rPr>
                <w:rFonts w:ascii="Trebuchet MS" w:hAnsi="Trebuchet MS" w:cs="Calibri Light"/>
                <w:i/>
                <w:sz w:val="22"/>
                <w:szCs w:val="22"/>
              </w:rPr>
              <w:t>cluster</w:t>
            </w:r>
            <w:proofErr w:type="spellEnd"/>
            <w:r w:rsidRPr="00F957EE">
              <w:rPr>
                <w:rFonts w:ascii="Trebuchet MS" w:hAnsi="Trebuchet MS" w:cs="Calibri Light"/>
                <w:i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BF6E7F">
            <w:pPr>
              <w:tabs>
                <w:tab w:val="left" w:pos="319"/>
              </w:tabs>
              <w:spacing w:before="80" w:after="80"/>
              <w:ind w:left="35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Turi būti galimybė pamatyti, pasirinkti ir įtraukti į programos duomenų bylą bet kokias duomenų grupes (angl. </w:t>
            </w:r>
            <w:proofErr w:type="spellStart"/>
            <w:r w:rsidRPr="00F957EE">
              <w:rPr>
                <w:rFonts w:ascii="Trebuchet MS" w:hAnsi="Trebuchet MS" w:cs="Calibri Light"/>
                <w:i/>
                <w:sz w:val="22"/>
                <w:szCs w:val="22"/>
              </w:rPr>
              <w:t>cluster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>), susietas su pradėta programos duomenų byla. Duomenų grupę turi sudaryti adresai, kuriuos programa identifikuotų kaip kontroliuojamus vieno subjekto. Reikalavimai  informacijai, kuri turi būti pateikiama duomenų grupėje: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gautų 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vienetų (pvz., 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bitkoinų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>) skaičius;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išmokėtų kriptovaliutos vienetų skaičius;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esamas likutis;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kredito ir debeto apyvartos per visą laikotarpį;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likutis tam tikru metu;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duomenų grupės, kurioms šios grupės yra siuntusios 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kriptovaliutas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>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duomenų grupės, iš kurių šios grupės yra gavusios 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kriptovaliutas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>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data ir laikas, kada duomenų grupė pradėjo veikti;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vėliausia data ir laikas, kai grupė buvo aktyvi;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duomenų grupės įeinančių arba išeinančių operacijų skaičius;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laikotarpiai, kai duomenų grupė buvo labiausiai ir mažiausiai aktyvi;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duomenų grupėje esantys subjektų adresai;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vertė Eurais arba JAV doleriais;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duomenys apie sumokėtus aptarnavimo mokesčius;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duomenų grupės kategorija (pvz. birža, tamsiojo interneto rinka, kasybos baseinas (angl. </w:t>
            </w:r>
            <w:proofErr w:type="spellStart"/>
            <w:r w:rsidRPr="00F957EE">
              <w:rPr>
                <w:rFonts w:ascii="Trebuchet MS" w:hAnsi="Trebuchet MS" w:cs="Calibri Light"/>
                <w:i/>
                <w:sz w:val="22"/>
                <w:szCs w:val="22"/>
              </w:rPr>
              <w:t>mining</w:t>
            </w:r>
            <w:proofErr w:type="spellEnd"/>
            <w:r w:rsidRPr="00F957EE">
              <w:rPr>
                <w:rFonts w:ascii="Trebuchet MS" w:hAnsi="Trebuchet MS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F957EE">
              <w:rPr>
                <w:rFonts w:ascii="Trebuchet MS" w:hAnsi="Trebuchet MS" w:cs="Calibri Light"/>
                <w:i/>
                <w:sz w:val="22"/>
                <w:szCs w:val="22"/>
              </w:rPr>
              <w:t>pool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>), galimai nusikalstamu būdu įgytos lėšos, teroristų finansavimas, azartiniai lošimai ir kt.);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išsami informacija apie atvirųjų informacijos šaltinių žvalgybos (OSINT) nuorodas (subjektų adresus), esančias duomenų grupėje;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klasifikuotos etiketės (angl. </w:t>
            </w:r>
            <w:proofErr w:type="spellStart"/>
            <w:r w:rsidRPr="00F957EE">
              <w:rPr>
                <w:rFonts w:ascii="Trebuchet MS" w:hAnsi="Trebuchet MS" w:cs="Calibri Light"/>
                <w:i/>
                <w:sz w:val="22"/>
                <w:szCs w:val="22"/>
              </w:rPr>
              <w:t>labels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) apie duomenų grupes, kurios tiesiogiai siunčiamos/ gaunamos iš duomenų grupės; 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informacija apie IP adresus (stebėjimus/mazgus), susijusius su adresais duomenų grupėje;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išsiuntimo/gavimo operacijų laiko sekos analizė;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informacija apie 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operacijas pagal grupes (data, operacijos šalių pavadinimai, šalių kategorijos, sumos, operacijų sąveiką su </w:t>
            </w:r>
            <w:proofErr w:type="spellStart"/>
            <w:r w:rsidRPr="00F957EE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maišymo svetainėmis ir kt.);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galimybė atskirti konkretaus adreso (IP, kriptovaliutos piniginės, identifikacinio numerio, </w:t>
            </w:r>
            <w:r w:rsidRPr="00F957EE">
              <w:rPr>
                <w:rFonts w:ascii="Trebuchet MS" w:hAnsi="Trebuchet MS" w:cs="Calibri Light"/>
                <w:sz w:val="22"/>
                <w:szCs w:val="22"/>
              </w:rPr>
              <w:lastRenderedPageBreak/>
              <w:t>kriptovaliutos siuntimo/priėmimo) veiklą duomenų grupėje;</w:t>
            </w:r>
          </w:p>
          <w:p w:rsidR="00EE6A4E" w:rsidRPr="00F957EE" w:rsidRDefault="00EE6A4E" w:rsidP="00EE6A4E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matyti, pasirinkti ir įtraukti į programos bylą bet kokias duomenų grupes, susietas su atliekama analize.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BF6E7F">
            <w:pPr>
              <w:tabs>
                <w:tab w:val="left" w:pos="319"/>
              </w:tabs>
              <w:spacing w:before="80" w:after="80"/>
              <w:ind w:left="35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Programos duomenų bylų valdymas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EE6A4E">
            <w:pPr>
              <w:numPr>
                <w:ilvl w:val="0"/>
                <w:numId w:val="6"/>
              </w:numPr>
              <w:tabs>
                <w:tab w:val="left" w:pos="324"/>
              </w:tabs>
              <w:spacing w:before="80" w:after="80"/>
              <w:ind w:left="176" w:hanging="143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sukurti programos duomenų bylas ir sugebėti bet kada pakartotinai prieiti prie visų programos duomenų bylų, su kuriomis dirbama.</w:t>
            </w:r>
          </w:p>
          <w:p w:rsidR="00EE6A4E" w:rsidRPr="00F957EE" w:rsidRDefault="00EE6A4E" w:rsidP="00EE6A4E">
            <w:pPr>
              <w:numPr>
                <w:ilvl w:val="0"/>
                <w:numId w:val="6"/>
              </w:numPr>
              <w:tabs>
                <w:tab w:val="left" w:pos="176"/>
              </w:tabs>
              <w:spacing w:before="80" w:after="80"/>
              <w:ind w:left="176" w:hanging="143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atsisiųsti programos duomenų bylos informaciją.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EE6A4E">
            <w:pPr>
              <w:numPr>
                <w:ilvl w:val="0"/>
                <w:numId w:val="6"/>
              </w:numPr>
              <w:tabs>
                <w:tab w:val="left" w:pos="324"/>
              </w:tabs>
              <w:spacing w:before="80" w:after="80"/>
              <w:ind w:left="176" w:hanging="143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Duomenų paėmimas / programos duomenų bylos pradžios taškai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EE6A4E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suteikta galimybė pradėti programos duomenų bylą, perkeliant didelius duomenų kiekius iš blokų grandinės duomenų ar skaitmeninių ekspertizės duomenų.</w:t>
            </w:r>
          </w:p>
          <w:p w:rsidR="00EE6A4E" w:rsidRPr="00F957EE" w:rsidRDefault="00EE6A4E" w:rsidP="00EE6A4E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Programos naudotojo duomenų bylų negali matyti programos </w:t>
            </w:r>
            <w:r w:rsidRPr="00F957EE">
              <w:rPr>
                <w:rFonts w:ascii="Trebuchet MS" w:hAnsi="Trebuchet MS"/>
                <w:bCs/>
                <w:sz w:val="22"/>
                <w:szCs w:val="22"/>
              </w:rPr>
              <w:t xml:space="preserve"> TIEKĖJAS </w:t>
            </w:r>
            <w:r w:rsidRPr="00F957EE">
              <w:rPr>
                <w:rFonts w:ascii="Trebuchet MS" w:hAnsi="Trebuchet MS" w:cs="Calibri Light"/>
                <w:sz w:val="22"/>
                <w:szCs w:val="22"/>
              </w:rPr>
              <w:t>ar kiti asmenys, išskyrus atvejus kai tai leidžia perkančioji organizacija–naudotojas.</w:t>
            </w:r>
          </w:p>
          <w:p w:rsidR="00EE6A4E" w:rsidRPr="00F957EE" w:rsidRDefault="00EE6A4E" w:rsidP="00EE6A4E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automatiškai nustatyti kriptovaliutos kelią į žinomą kriptovaliutos keityklą.</w:t>
            </w:r>
          </w:p>
          <w:p w:rsidR="00EE6A4E" w:rsidRPr="00F957EE" w:rsidRDefault="00EE6A4E" w:rsidP="00EE6A4E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Turi būti galimybė naudotojui persijungti iš vieno kriptovaliutos grandinės bloko į kitą kriptovaliutos grandinės bloką.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Pr="00F957EE" w:rsidRDefault="00EE6A4E" w:rsidP="00EE6A4E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EE6A4E" w:rsidRPr="00F957EE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A4E" w:rsidRPr="00F957EE" w:rsidRDefault="00EE6A4E" w:rsidP="00BF6E7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F957EE">
              <w:rPr>
                <w:rFonts w:ascii="Trebuchet MS" w:hAnsi="Trebuchet MS" w:cs="Calibri Light"/>
                <w:sz w:val="22"/>
                <w:szCs w:val="22"/>
              </w:rPr>
              <w:t>Programos palaikymas ir garantija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A4E" w:rsidRPr="00F957E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>
              <w:rPr>
                <w:rFonts w:ascii="Trebuchet MS" w:hAnsi="Trebuchet MS" w:cs="Calibri Light"/>
                <w:sz w:val="22"/>
                <w:szCs w:val="22"/>
              </w:rPr>
              <w:t>Visiškas</w:t>
            </w:r>
            <w:r w:rsidRPr="00F957EE">
              <w:rPr>
                <w:rFonts w:ascii="Trebuchet MS" w:hAnsi="Trebuchet MS" w:cs="Calibri Light"/>
                <w:sz w:val="22"/>
                <w:szCs w:val="22"/>
              </w:rPr>
              <w:t xml:space="preserve"> gamintojo programos palaikymas 12 mėnesių laikotarpiui.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4E" w:rsidRDefault="00EE6A4E" w:rsidP="00BF6E7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</w:tbl>
    <w:p w:rsidR="00950DFD" w:rsidRDefault="00EE6A4E" w:rsidP="00EE6A4E">
      <w:pPr>
        <w:ind w:left="-567"/>
        <w:jc w:val="center"/>
      </w:pPr>
      <w:r>
        <w:t>________</w:t>
      </w:r>
    </w:p>
    <w:sectPr w:rsidR="00950DFD" w:rsidSect="00572755">
      <w:pgSz w:w="11906" w:h="16838"/>
      <w:pgMar w:top="1135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04C4C"/>
    <w:multiLevelType w:val="hybridMultilevel"/>
    <w:tmpl w:val="8B6AF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C43BB"/>
    <w:multiLevelType w:val="hybridMultilevel"/>
    <w:tmpl w:val="63A2D1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A75102F"/>
    <w:multiLevelType w:val="hybridMultilevel"/>
    <w:tmpl w:val="0C7AE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A6C73"/>
    <w:multiLevelType w:val="hybridMultilevel"/>
    <w:tmpl w:val="70BC4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27BCE"/>
    <w:multiLevelType w:val="hybridMultilevel"/>
    <w:tmpl w:val="FAFEA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D76AA"/>
    <w:multiLevelType w:val="hybridMultilevel"/>
    <w:tmpl w:val="61509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A214E"/>
    <w:multiLevelType w:val="hybridMultilevel"/>
    <w:tmpl w:val="D156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A4E"/>
    <w:rsid w:val="0015320B"/>
    <w:rsid w:val="00572755"/>
    <w:rsid w:val="008C4644"/>
    <w:rsid w:val="00D805DA"/>
    <w:rsid w:val="00EA6611"/>
    <w:rsid w:val="00EE6A4E"/>
    <w:rsid w:val="00F8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FEAB8-8645-4429-9633-E33FAD4C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E6A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4496</Words>
  <Characters>2563</Characters>
  <Application>Microsoft Office Word</Application>
  <DocSecurity>0</DocSecurity>
  <Lines>21</Lines>
  <Paragraphs>14</Paragraphs>
  <ScaleCrop>false</ScaleCrop>
  <Company>VMI</Company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Kurauskas</dc:creator>
  <cp:keywords/>
  <dc:description/>
  <cp:lastModifiedBy>Gintaras Kurauskas</cp:lastModifiedBy>
  <cp:revision>2</cp:revision>
  <dcterms:created xsi:type="dcterms:W3CDTF">2025-05-09T07:28:00Z</dcterms:created>
  <dcterms:modified xsi:type="dcterms:W3CDTF">2025-05-09T07:33:00Z</dcterms:modified>
</cp:coreProperties>
</file>